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C7D" w:rsidRPr="00397FCD" w:rsidRDefault="005F7C7D" w:rsidP="005F7C7D">
      <w:pPr>
        <w:spacing w:before="240" w:after="240" w:line="360" w:lineRule="auto"/>
        <w:jc w:val="both"/>
        <w:rPr>
          <w:rFonts w:ascii="Palatino Linotype" w:hAnsi="Palatino Linotype"/>
          <w:b/>
          <w:sz w:val="24"/>
          <w:szCs w:val="24"/>
        </w:rPr>
      </w:pPr>
      <w:r w:rsidRPr="00397FCD">
        <w:rPr>
          <w:rFonts w:ascii="Palatino Linotype" w:hAnsi="Palatino Linotype"/>
          <w:b/>
          <w:sz w:val="24"/>
          <w:szCs w:val="24"/>
        </w:rPr>
        <w:t xml:space="preserve">VOTO PARTICULAR QUE FORMULA EL COMISIONADO JAVIER MARTÍNEZ CRUZ, EN RELACIÓN CON LA RESOLUCIÓN DICTADA POR EL PLENO DEL INSTITUTO DE TRANSPARENCIA, ACCESO A LA INFORMACIÓN PÚBLICA Y PROTECCIÓN DE DATOS PERSONALES DEL ESTADO DE MÉXICO Y MUNICIPIOS, EN LA VIGÉSIMA PRIMER SESIÓN ORDINARIA DEL CINCO DE JUNIO DE DOS MIL DIECINUEVE, EN </w:t>
      </w:r>
      <w:r w:rsidRPr="00397FCD">
        <w:rPr>
          <w:rFonts w:ascii="Palatino Linotype" w:hAnsi="Palatino Linotype"/>
          <w:b/>
          <w:sz w:val="24"/>
          <w:szCs w:val="24"/>
        </w:rPr>
        <w:t>EL</w:t>
      </w:r>
      <w:r w:rsidRPr="00397FCD">
        <w:rPr>
          <w:rFonts w:ascii="Palatino Linotype" w:hAnsi="Palatino Linotype"/>
          <w:b/>
          <w:sz w:val="24"/>
          <w:szCs w:val="24"/>
        </w:rPr>
        <w:t xml:space="preserve"> RECURSO DE REVISIÓN </w:t>
      </w:r>
      <w:r w:rsidRPr="00397FCD">
        <w:rPr>
          <w:rFonts w:ascii="Palatino Linotype" w:hAnsi="Palatino Linotype" w:cs="Arial"/>
          <w:b/>
          <w:bCs/>
          <w:sz w:val="24"/>
          <w:szCs w:val="24"/>
          <w:lang w:val="es-ES" w:eastAsia="es-MX"/>
        </w:rPr>
        <w:t>0191</w:t>
      </w:r>
      <w:r w:rsidRPr="00397FCD">
        <w:rPr>
          <w:rFonts w:ascii="Palatino Linotype" w:hAnsi="Palatino Linotype" w:cs="Arial"/>
          <w:b/>
          <w:bCs/>
          <w:sz w:val="24"/>
          <w:szCs w:val="24"/>
          <w:lang w:val="es-ES" w:eastAsia="es-MX"/>
        </w:rPr>
        <w:t>7/INFOEM/IP/RR/2019</w:t>
      </w:r>
      <w:r w:rsidRPr="00397FCD">
        <w:rPr>
          <w:rFonts w:ascii="Palatino Linotype" w:hAnsi="Palatino Linotype"/>
          <w:b/>
          <w:sz w:val="24"/>
          <w:szCs w:val="24"/>
        </w:rPr>
        <w:t>.</w:t>
      </w:r>
    </w:p>
    <w:p w:rsidR="005F7C7D" w:rsidRPr="00397FCD" w:rsidRDefault="005F7C7D" w:rsidP="005F7C7D">
      <w:pPr>
        <w:spacing w:before="240" w:after="240" w:line="360" w:lineRule="auto"/>
        <w:jc w:val="both"/>
        <w:rPr>
          <w:rFonts w:ascii="Palatino Linotype" w:hAnsi="Palatino Linotype"/>
          <w:sz w:val="24"/>
          <w:szCs w:val="24"/>
        </w:rPr>
      </w:pPr>
      <w:r w:rsidRPr="00397FCD">
        <w:rPr>
          <w:rFonts w:ascii="Palatino Linotype" w:hAnsi="Palatino Linotype"/>
          <w:sz w:val="24"/>
          <w:szCs w:val="24"/>
        </w:rPr>
        <w:t xml:space="preserve">Con fundamento en lo dispuesto por el artículo 14 fracción XI del Reglamento Interior del Instituto de Transparencia, Acceso a la Información Pública y Protección de Datos Personales del Estado de México y Municipios, el Comisionado Javier Martínez Cruz emite </w:t>
      </w:r>
      <w:r w:rsidRPr="00397FCD">
        <w:rPr>
          <w:rFonts w:ascii="Palatino Linotype" w:hAnsi="Palatino Linotype"/>
          <w:b/>
          <w:sz w:val="24"/>
          <w:szCs w:val="24"/>
        </w:rPr>
        <w:t xml:space="preserve">VOTO PARTICULAR </w:t>
      </w:r>
      <w:r w:rsidRPr="00397FCD">
        <w:rPr>
          <w:rFonts w:ascii="Palatino Linotype" w:hAnsi="Palatino Linotype"/>
          <w:sz w:val="24"/>
          <w:szCs w:val="24"/>
        </w:rPr>
        <w:t>respecto a la resoluci</w:t>
      </w:r>
      <w:r w:rsidRPr="00397FCD">
        <w:rPr>
          <w:rFonts w:ascii="Palatino Linotype" w:hAnsi="Palatino Linotype"/>
          <w:sz w:val="24"/>
          <w:szCs w:val="24"/>
        </w:rPr>
        <w:t xml:space="preserve">ón </w:t>
      </w:r>
      <w:r w:rsidRPr="00397FCD">
        <w:rPr>
          <w:rFonts w:ascii="Palatino Linotype" w:hAnsi="Palatino Linotype"/>
          <w:sz w:val="24"/>
          <w:szCs w:val="24"/>
        </w:rPr>
        <w:t xml:space="preserve">dictada en el recurso de revisión número </w:t>
      </w:r>
      <w:r w:rsidRPr="00397FCD">
        <w:rPr>
          <w:rFonts w:ascii="Palatino Linotype" w:hAnsi="Palatino Linotype"/>
          <w:b/>
          <w:bCs/>
          <w:sz w:val="24"/>
          <w:szCs w:val="24"/>
          <w:lang w:val="es-ES"/>
        </w:rPr>
        <w:t>0191</w:t>
      </w:r>
      <w:r w:rsidRPr="00397FCD">
        <w:rPr>
          <w:rFonts w:ascii="Palatino Linotype" w:hAnsi="Palatino Linotype"/>
          <w:b/>
          <w:bCs/>
          <w:sz w:val="24"/>
          <w:szCs w:val="24"/>
          <w:lang w:val="es-ES"/>
        </w:rPr>
        <w:t>7/INFOEM/IP/RR/2019</w:t>
      </w:r>
      <w:r w:rsidRPr="00397FCD">
        <w:rPr>
          <w:rFonts w:ascii="Palatino Linotype" w:hAnsi="Palatino Linotype"/>
          <w:sz w:val="24"/>
          <w:szCs w:val="24"/>
        </w:rPr>
        <w:t xml:space="preserve">, pronunciada por el Pleno de este Instituto ante </w:t>
      </w:r>
      <w:r w:rsidR="00397FCD" w:rsidRPr="00397FCD">
        <w:rPr>
          <w:rFonts w:ascii="Palatino Linotype" w:hAnsi="Palatino Linotype"/>
          <w:sz w:val="24"/>
          <w:szCs w:val="24"/>
        </w:rPr>
        <w:t xml:space="preserve">el </w:t>
      </w:r>
      <w:r w:rsidRPr="00397FCD">
        <w:rPr>
          <w:rFonts w:ascii="Palatino Linotype" w:hAnsi="Palatino Linotype"/>
          <w:sz w:val="24"/>
          <w:szCs w:val="24"/>
        </w:rPr>
        <w:t xml:space="preserve">proyecto presentado por la Comisionada Eva Abaid Yapur. </w:t>
      </w:r>
    </w:p>
    <w:p w:rsidR="005F7C7D" w:rsidRPr="00397FCD" w:rsidRDefault="005F7C7D" w:rsidP="005F7C7D">
      <w:pPr>
        <w:spacing w:before="240" w:after="240" w:line="360" w:lineRule="auto"/>
        <w:jc w:val="both"/>
        <w:rPr>
          <w:rFonts w:ascii="Palatino Linotype" w:hAnsi="Palatino Linotype"/>
          <w:sz w:val="24"/>
          <w:szCs w:val="24"/>
        </w:rPr>
      </w:pPr>
      <w:r w:rsidRPr="00397FCD">
        <w:rPr>
          <w:rFonts w:ascii="Palatino Linotype" w:hAnsi="Palatino Linotype"/>
          <w:sz w:val="24"/>
          <w:szCs w:val="24"/>
        </w:rPr>
        <w:t>Antes de plantear el punto sobre el cual versa el presente voto, es de suma importancia mencionar que el suscrito en términos genera</w:t>
      </w:r>
      <w:r w:rsidR="00397FCD" w:rsidRPr="00397FCD">
        <w:rPr>
          <w:rFonts w:ascii="Palatino Linotype" w:hAnsi="Palatino Linotype"/>
          <w:sz w:val="24"/>
          <w:szCs w:val="24"/>
        </w:rPr>
        <w:t>les coincide en el sentido de la</w:t>
      </w:r>
      <w:r w:rsidRPr="00397FCD">
        <w:rPr>
          <w:rFonts w:ascii="Palatino Linotype" w:hAnsi="Palatino Linotype"/>
          <w:sz w:val="24"/>
          <w:szCs w:val="24"/>
        </w:rPr>
        <w:t xml:space="preserve"> resoluci</w:t>
      </w:r>
      <w:r w:rsidR="00397FCD" w:rsidRPr="00397FCD">
        <w:rPr>
          <w:rFonts w:ascii="Palatino Linotype" w:hAnsi="Palatino Linotype"/>
          <w:sz w:val="24"/>
          <w:szCs w:val="24"/>
        </w:rPr>
        <w:t xml:space="preserve">ón </w:t>
      </w:r>
      <w:r w:rsidRPr="00397FCD">
        <w:rPr>
          <w:rFonts w:ascii="Palatino Linotype" w:hAnsi="Palatino Linotype"/>
          <w:sz w:val="24"/>
          <w:szCs w:val="24"/>
        </w:rPr>
        <w:t>del recurso de revisión al rubro indicado, lo anterior es así como a continuación se explica:</w:t>
      </w:r>
    </w:p>
    <w:p w:rsidR="005F7C7D" w:rsidRPr="00397FCD" w:rsidRDefault="005F7C7D" w:rsidP="005F7C7D">
      <w:pPr>
        <w:spacing w:before="240" w:after="240" w:line="360" w:lineRule="auto"/>
        <w:jc w:val="both"/>
        <w:rPr>
          <w:rFonts w:ascii="Palatino Linotype" w:hAnsi="Palatino Linotype"/>
          <w:sz w:val="24"/>
          <w:szCs w:val="24"/>
        </w:rPr>
      </w:pPr>
      <w:r w:rsidRPr="00397FCD">
        <w:rPr>
          <w:rFonts w:ascii="Palatino Linotype" w:hAnsi="Palatino Linotype"/>
          <w:sz w:val="24"/>
          <w:szCs w:val="24"/>
        </w:rPr>
        <w:t>En primer lugar debe precisarse que el impetrante requirió que se le entregara lo siguiente:</w:t>
      </w:r>
    </w:p>
    <w:p w:rsidR="005F7C7D" w:rsidRPr="00397FCD" w:rsidRDefault="00397FCD" w:rsidP="005F7C7D">
      <w:pPr>
        <w:spacing w:after="0" w:line="240" w:lineRule="auto"/>
        <w:jc w:val="both"/>
        <w:rPr>
          <w:rFonts w:ascii="Palatino Linotype" w:hAnsi="Palatino Linotype"/>
          <w:b/>
          <w:bCs/>
          <w:i/>
          <w:lang w:val="es-ES" w:eastAsia="es-MX"/>
        </w:rPr>
      </w:pPr>
      <w:r w:rsidRPr="00397FCD">
        <w:rPr>
          <w:rFonts w:ascii="Palatino Linotype" w:hAnsi="Palatino Linotype"/>
          <w:b/>
          <w:bCs/>
          <w:i/>
          <w:lang w:eastAsia="es-MX"/>
        </w:rPr>
        <w:lastRenderedPageBreak/>
        <w:t>00098/NEZA/IP/2019</w:t>
      </w:r>
      <w:r w:rsidR="005F7C7D" w:rsidRPr="00397FCD">
        <w:rPr>
          <w:rFonts w:ascii="Palatino Linotype" w:hAnsi="Palatino Linotype"/>
          <w:b/>
          <w:bCs/>
          <w:i/>
          <w:lang w:val="es-ES" w:eastAsia="es-MX"/>
        </w:rPr>
        <w:t>:</w:t>
      </w:r>
    </w:p>
    <w:p w:rsidR="005F7C7D" w:rsidRPr="00397FCD" w:rsidRDefault="005F7C7D" w:rsidP="005F7C7D">
      <w:pPr>
        <w:spacing w:after="0" w:line="240" w:lineRule="auto"/>
        <w:jc w:val="both"/>
        <w:rPr>
          <w:rFonts w:ascii="Palatino Linotype" w:hAnsi="Palatino Linotype"/>
          <w:bCs/>
          <w:i/>
          <w:lang w:val="es-ES" w:eastAsia="es-MX"/>
        </w:rPr>
      </w:pPr>
    </w:p>
    <w:p w:rsidR="005F7C7D" w:rsidRPr="00397FCD" w:rsidRDefault="005F7C7D" w:rsidP="00397FCD">
      <w:pPr>
        <w:pStyle w:val="Prrafodelista"/>
        <w:spacing w:after="0" w:line="240" w:lineRule="auto"/>
        <w:jc w:val="both"/>
        <w:rPr>
          <w:rFonts w:ascii="Palatino Linotype" w:hAnsi="Palatino Linotype"/>
          <w:b/>
          <w:i/>
          <w:lang w:eastAsia="es-MX"/>
        </w:rPr>
      </w:pPr>
      <w:r w:rsidRPr="00397FCD">
        <w:rPr>
          <w:rFonts w:ascii="Palatino Linotype" w:hAnsi="Palatino Linotype"/>
          <w:i/>
          <w:lang w:val="es-ES" w:eastAsia="es-MX"/>
        </w:rPr>
        <w:t>“</w:t>
      </w:r>
      <w:r w:rsidR="00397FCD" w:rsidRPr="00397FCD">
        <w:rPr>
          <w:rFonts w:ascii="Palatino Linotype" w:hAnsi="Palatino Linotype"/>
          <w:bCs/>
          <w:i/>
          <w:lang w:eastAsia="es-MX"/>
        </w:rPr>
        <w:t>Solicito la ficha curricular del Presidente Municipal, del Secretario del Ayuntamiento, Tesorero, Director de Obras Públicas, Director de Desarrollo Económico, Coordinador General Municipal de Mejora Regulatoria, Ecología, Desarrollo Urbano, y Protección Civil, así como su documentó probatorio del grado de estudios (Título Profesional, Certificado o Cédula Profesional)</w:t>
      </w:r>
      <w:r w:rsidRPr="00397FCD">
        <w:rPr>
          <w:rFonts w:ascii="Palatino Linotype" w:hAnsi="Palatino Linotype"/>
          <w:i/>
          <w:lang w:val="es-ES" w:eastAsia="es-MX"/>
        </w:rPr>
        <w:t>.” (sic)</w:t>
      </w:r>
    </w:p>
    <w:p w:rsidR="005F7C7D" w:rsidRPr="00397FCD" w:rsidRDefault="005F7C7D" w:rsidP="005F7C7D">
      <w:pPr>
        <w:spacing w:before="240" w:after="240" w:line="360" w:lineRule="auto"/>
        <w:jc w:val="both"/>
        <w:rPr>
          <w:rFonts w:ascii="Palatino Linotype" w:hAnsi="Palatino Linotype"/>
          <w:sz w:val="24"/>
          <w:szCs w:val="24"/>
          <w:lang w:val="es-ES"/>
        </w:rPr>
      </w:pPr>
      <w:r w:rsidRPr="00397FCD">
        <w:rPr>
          <w:rFonts w:ascii="Palatino Linotype" w:hAnsi="Palatino Linotype"/>
          <w:sz w:val="24"/>
          <w:szCs w:val="24"/>
        </w:rPr>
        <w:t xml:space="preserve">Por otra parte debe precisarse que una vez que fue substanciado </w:t>
      </w:r>
      <w:r w:rsidR="00397FCD" w:rsidRPr="00397FCD">
        <w:rPr>
          <w:rFonts w:ascii="Palatino Linotype" w:hAnsi="Palatino Linotype"/>
          <w:sz w:val="24"/>
          <w:szCs w:val="24"/>
        </w:rPr>
        <w:t xml:space="preserve">el </w:t>
      </w:r>
      <w:r w:rsidRPr="00397FCD">
        <w:rPr>
          <w:rFonts w:ascii="Palatino Linotype" w:hAnsi="Palatino Linotype"/>
          <w:sz w:val="24"/>
          <w:szCs w:val="24"/>
        </w:rPr>
        <w:t>recurso de revisión al rubro indicado, en el Resolutivo Segundo de la resoluci</w:t>
      </w:r>
      <w:r w:rsidR="00397FCD" w:rsidRPr="00397FCD">
        <w:rPr>
          <w:rFonts w:ascii="Palatino Linotype" w:hAnsi="Palatino Linotype"/>
          <w:sz w:val="24"/>
          <w:szCs w:val="24"/>
        </w:rPr>
        <w:t xml:space="preserve">ón materia del presente voto </w:t>
      </w:r>
      <w:r w:rsidRPr="00397FCD">
        <w:rPr>
          <w:rFonts w:ascii="Palatino Linotype" w:hAnsi="Palatino Linotype"/>
          <w:sz w:val="24"/>
          <w:szCs w:val="24"/>
        </w:rPr>
        <w:t xml:space="preserve">se determinó </w:t>
      </w:r>
      <w:r w:rsidRPr="00397FCD">
        <w:rPr>
          <w:rFonts w:ascii="Palatino Linotype" w:hAnsi="Palatino Linotype"/>
          <w:sz w:val="24"/>
          <w:szCs w:val="24"/>
          <w:lang w:val="es-ES"/>
        </w:rPr>
        <w:t>ordenar la entrega de la información consistente en:</w:t>
      </w:r>
    </w:p>
    <w:tbl>
      <w:tblPr>
        <w:tblStyle w:val="Tablaconcuadrcula"/>
        <w:tblW w:w="0" w:type="auto"/>
        <w:tblLook w:val="04A0" w:firstRow="1" w:lastRow="0" w:firstColumn="1" w:lastColumn="0" w:noHBand="0" w:noVBand="1"/>
      </w:tblPr>
      <w:tblGrid>
        <w:gridCol w:w="2938"/>
        <w:gridCol w:w="5980"/>
      </w:tblGrid>
      <w:tr w:rsidR="005F7C7D" w:rsidRPr="00397FCD" w:rsidTr="00397FCD">
        <w:tc>
          <w:tcPr>
            <w:tcW w:w="2691" w:type="dxa"/>
          </w:tcPr>
          <w:p w:rsidR="005F7C7D" w:rsidRPr="00397FCD" w:rsidRDefault="005F7C7D" w:rsidP="00C1092F">
            <w:pPr>
              <w:spacing w:line="240" w:lineRule="auto"/>
              <w:jc w:val="both"/>
              <w:rPr>
                <w:rFonts w:ascii="Palatino Linotype" w:hAnsi="Palatino Linotype"/>
                <w:b/>
                <w:lang w:val="es-ES"/>
              </w:rPr>
            </w:pPr>
            <w:r w:rsidRPr="00397FCD">
              <w:rPr>
                <w:rFonts w:ascii="Palatino Linotype" w:hAnsi="Palatino Linotype"/>
                <w:b/>
                <w:lang w:val="es-ES"/>
              </w:rPr>
              <w:t>Recurso de Revisión</w:t>
            </w:r>
          </w:p>
        </w:tc>
        <w:tc>
          <w:tcPr>
            <w:tcW w:w="6227" w:type="dxa"/>
          </w:tcPr>
          <w:p w:rsidR="005F7C7D" w:rsidRPr="00397FCD" w:rsidRDefault="005F7C7D" w:rsidP="00C1092F">
            <w:pPr>
              <w:spacing w:line="240" w:lineRule="auto"/>
              <w:jc w:val="both"/>
              <w:rPr>
                <w:rFonts w:ascii="Palatino Linotype" w:hAnsi="Palatino Linotype"/>
                <w:b/>
                <w:lang w:val="es-ES"/>
              </w:rPr>
            </w:pPr>
            <w:r w:rsidRPr="00397FCD">
              <w:rPr>
                <w:rFonts w:ascii="Palatino Linotype" w:hAnsi="Palatino Linotype"/>
                <w:b/>
                <w:lang w:val="es-ES"/>
              </w:rPr>
              <w:t>Información a entregar:</w:t>
            </w:r>
          </w:p>
        </w:tc>
      </w:tr>
      <w:tr w:rsidR="005F7C7D" w:rsidRPr="00397FCD" w:rsidTr="00397FCD">
        <w:tc>
          <w:tcPr>
            <w:tcW w:w="2691" w:type="dxa"/>
          </w:tcPr>
          <w:p w:rsidR="005F7C7D" w:rsidRPr="00397FCD" w:rsidRDefault="005F7C7D" w:rsidP="00397FCD">
            <w:pPr>
              <w:spacing w:line="240" w:lineRule="auto"/>
              <w:jc w:val="both"/>
              <w:rPr>
                <w:rFonts w:ascii="Palatino Linotype" w:hAnsi="Palatino Linotype"/>
                <w:i/>
                <w:lang w:val="es-ES"/>
              </w:rPr>
            </w:pPr>
            <w:r w:rsidRPr="00397FCD">
              <w:rPr>
                <w:rFonts w:ascii="Palatino Linotype" w:hAnsi="Palatino Linotype"/>
                <w:b/>
                <w:bCs/>
                <w:i/>
                <w:lang w:val="es-ES_tradnl"/>
              </w:rPr>
              <w:t>01</w:t>
            </w:r>
            <w:r w:rsidR="00397FCD" w:rsidRPr="00397FCD">
              <w:rPr>
                <w:rFonts w:ascii="Palatino Linotype" w:hAnsi="Palatino Linotype"/>
                <w:b/>
                <w:bCs/>
                <w:i/>
                <w:lang w:val="es-ES_tradnl"/>
              </w:rPr>
              <w:t>917</w:t>
            </w:r>
            <w:r w:rsidRPr="00397FCD">
              <w:rPr>
                <w:rFonts w:ascii="Palatino Linotype" w:hAnsi="Palatino Linotype"/>
                <w:b/>
                <w:bCs/>
                <w:i/>
                <w:lang w:val="es-ES_tradnl"/>
              </w:rPr>
              <w:t>/INFOEM/IP/RR/2019</w:t>
            </w:r>
          </w:p>
        </w:tc>
        <w:tc>
          <w:tcPr>
            <w:tcW w:w="6227" w:type="dxa"/>
          </w:tcPr>
          <w:p w:rsidR="00397FCD" w:rsidRPr="00397FCD" w:rsidRDefault="00397FCD" w:rsidP="00397FCD">
            <w:pPr>
              <w:spacing w:line="240" w:lineRule="auto"/>
              <w:jc w:val="both"/>
              <w:rPr>
                <w:rFonts w:ascii="Palatino Linotype" w:hAnsi="Palatino Linotype"/>
                <w:i/>
                <w:lang w:val="es-ES_tradnl"/>
              </w:rPr>
            </w:pPr>
            <w:r w:rsidRPr="00397FCD">
              <w:rPr>
                <w:rFonts w:ascii="Palatino Linotype" w:hAnsi="Palatino Linotype"/>
                <w:i/>
                <w:lang w:val="es-ES_tradnl"/>
              </w:rPr>
              <w:t>a)</w:t>
            </w:r>
            <w:r w:rsidRPr="00397FCD">
              <w:rPr>
                <w:rFonts w:ascii="Palatino Linotype" w:hAnsi="Palatino Linotype"/>
                <w:b/>
                <w:i/>
                <w:lang w:val="es-ES_tradnl"/>
              </w:rPr>
              <w:t>El documento o documentos donde conste la información curricular</w:t>
            </w:r>
            <w:r w:rsidRPr="00397FCD">
              <w:rPr>
                <w:rFonts w:ascii="Palatino Linotype" w:hAnsi="Palatino Linotype"/>
                <w:i/>
                <w:lang w:val="es-ES_tradnl"/>
              </w:rPr>
              <w:t xml:space="preserve"> del Presidente Municipal, Secretario del Ayuntamiento, Tesorero, Director de Desarrollo Económico, Director del Medio Ambiente, Director de Desarrollo Urbano, Titular de la Unidad de la Municipal de Protección Civil y Coordinador General Municipal de Mejora Regulatoria,  a la fecha de la solicitud, es decir al 21 de febrero de 2019.</w:t>
            </w:r>
          </w:p>
          <w:p w:rsidR="00397FCD" w:rsidRPr="00397FCD" w:rsidRDefault="00397FCD" w:rsidP="00397FCD">
            <w:pPr>
              <w:spacing w:line="240" w:lineRule="auto"/>
              <w:jc w:val="both"/>
              <w:rPr>
                <w:rFonts w:ascii="Palatino Linotype" w:hAnsi="Palatino Linotype"/>
                <w:i/>
                <w:lang w:val="es-ES_tradnl"/>
              </w:rPr>
            </w:pPr>
          </w:p>
          <w:p w:rsidR="00397FCD" w:rsidRPr="00397FCD" w:rsidRDefault="00397FCD" w:rsidP="00397FCD">
            <w:pPr>
              <w:spacing w:line="240" w:lineRule="auto"/>
              <w:jc w:val="both"/>
              <w:rPr>
                <w:rFonts w:ascii="Palatino Linotype" w:hAnsi="Palatino Linotype"/>
                <w:i/>
                <w:lang w:val="es-ES_tradnl"/>
              </w:rPr>
            </w:pPr>
            <w:r w:rsidRPr="00397FCD">
              <w:rPr>
                <w:rFonts w:ascii="Palatino Linotype" w:hAnsi="Palatino Linotype"/>
                <w:i/>
                <w:lang w:val="es-ES_tradnl"/>
              </w:rPr>
              <w:t>b</w:t>
            </w:r>
            <w:r w:rsidRPr="00397FCD">
              <w:rPr>
                <w:rFonts w:ascii="Palatino Linotype" w:hAnsi="Palatino Linotype"/>
                <w:b/>
                <w:i/>
                <w:lang w:val="es-ES_tradnl"/>
              </w:rPr>
              <w:t>) El documento que acredite el grado de estudios</w:t>
            </w:r>
            <w:r w:rsidRPr="00397FCD">
              <w:rPr>
                <w:rFonts w:ascii="Palatino Linotype" w:hAnsi="Palatino Linotype"/>
                <w:i/>
                <w:lang w:val="es-ES_tradnl"/>
              </w:rPr>
              <w:t xml:space="preserve"> (Título o cédula profesional) del Secretario del Ayuntamiento, Tesorero, Director de Obras Públicas, Director de Desarrollo Económico, Director del Medio Ambiente, Director de Desarrollo Urbano y Coordinador General Municipal de Mejora Regulatoria, al 21 de febrero de 2019.</w:t>
            </w:r>
          </w:p>
          <w:p w:rsidR="00397FCD" w:rsidRPr="00397FCD" w:rsidRDefault="00397FCD" w:rsidP="00397FCD">
            <w:pPr>
              <w:spacing w:line="240" w:lineRule="auto"/>
              <w:jc w:val="both"/>
              <w:rPr>
                <w:rFonts w:ascii="Palatino Linotype" w:hAnsi="Palatino Linotype"/>
                <w:i/>
                <w:lang w:val="es-ES_tradnl"/>
              </w:rPr>
            </w:pPr>
          </w:p>
          <w:p w:rsidR="00397FCD" w:rsidRPr="00397FCD" w:rsidRDefault="00397FCD" w:rsidP="00397FCD">
            <w:pPr>
              <w:spacing w:line="240" w:lineRule="auto"/>
              <w:jc w:val="both"/>
              <w:rPr>
                <w:rFonts w:ascii="Palatino Linotype" w:hAnsi="Palatino Linotype"/>
                <w:i/>
                <w:lang w:val="es-ES_tradnl"/>
              </w:rPr>
            </w:pPr>
            <w:r w:rsidRPr="00397FCD">
              <w:rPr>
                <w:rFonts w:ascii="Palatino Linotype" w:hAnsi="Palatino Linotype"/>
                <w:i/>
                <w:lang w:val="es-ES_tradnl"/>
              </w:rPr>
              <w:t xml:space="preserve">c) </w:t>
            </w:r>
            <w:r w:rsidRPr="00397FCD">
              <w:rPr>
                <w:rFonts w:ascii="Palatino Linotype" w:hAnsi="Palatino Linotype"/>
                <w:b/>
                <w:i/>
                <w:lang w:val="es-ES_tradnl"/>
              </w:rPr>
              <w:t>Documento en donde conste el último grado de estudios del Presidente Municipal y el Titular de la Unidad Municipal de Protección Civil</w:t>
            </w:r>
            <w:r w:rsidRPr="00397FCD">
              <w:rPr>
                <w:rFonts w:ascii="Palatino Linotype" w:hAnsi="Palatino Linotype"/>
                <w:i/>
                <w:lang w:val="es-ES_tradnl"/>
              </w:rPr>
              <w:t>, al 21 de febrero de 2019.</w:t>
            </w:r>
          </w:p>
          <w:p w:rsidR="005F7C7D" w:rsidRPr="00397FCD" w:rsidRDefault="005F7C7D" w:rsidP="00C1092F">
            <w:pPr>
              <w:spacing w:line="240" w:lineRule="auto"/>
              <w:jc w:val="both"/>
              <w:rPr>
                <w:rFonts w:ascii="Palatino Linotype" w:hAnsi="Palatino Linotype"/>
                <w:i/>
                <w:lang w:val="es-ES"/>
              </w:rPr>
            </w:pPr>
            <w:r w:rsidRPr="00397FCD">
              <w:rPr>
                <w:rFonts w:ascii="Palatino Linotype" w:hAnsi="Palatino Linotype"/>
                <w:i/>
              </w:rPr>
              <w:t>.</w:t>
            </w:r>
          </w:p>
        </w:tc>
      </w:tr>
    </w:tbl>
    <w:p w:rsidR="005F7C7D" w:rsidRPr="00397FCD" w:rsidRDefault="005F7C7D" w:rsidP="005F7C7D">
      <w:pPr>
        <w:spacing w:before="240" w:after="240" w:line="360" w:lineRule="auto"/>
        <w:jc w:val="both"/>
        <w:rPr>
          <w:rFonts w:ascii="Palatino Linotype" w:hAnsi="Palatino Linotype"/>
          <w:sz w:val="24"/>
          <w:szCs w:val="24"/>
        </w:rPr>
      </w:pPr>
      <w:r w:rsidRPr="00397FCD">
        <w:rPr>
          <w:rFonts w:ascii="Palatino Linotype" w:hAnsi="Palatino Linotype"/>
          <w:sz w:val="24"/>
          <w:szCs w:val="24"/>
          <w:lang w:val="es-ES"/>
        </w:rPr>
        <w:lastRenderedPageBreak/>
        <w:t xml:space="preserve">En donde el Sujeto Obligado para emitir el Acuerdo del Comité de Transparencia de conformidad a la Ley de Transparencia y Acceso a la Información Pública del Estado de México y Municipios vigente, debe fundar y motivar las razones sobre los datos que se supriman o eliminen de los soportes documentales objeto de las versiones públicas que se formulen y se pongan a disposición del recurrente, sin embargo es de mencionar que sobre la fotografía y firma que obra en los documentos que acrediten grado académico o formación académica, refiere deben dejarse visibles. </w:t>
      </w:r>
    </w:p>
    <w:p w:rsidR="005F7C7D" w:rsidRPr="00397FCD" w:rsidRDefault="005F7C7D" w:rsidP="005F7C7D">
      <w:pPr>
        <w:spacing w:before="240" w:after="240" w:line="360" w:lineRule="auto"/>
        <w:jc w:val="both"/>
        <w:rPr>
          <w:rFonts w:ascii="Palatino Linotype" w:hAnsi="Palatino Linotype"/>
          <w:sz w:val="24"/>
          <w:szCs w:val="24"/>
          <w:lang w:val="es-ES"/>
        </w:rPr>
      </w:pPr>
      <w:r w:rsidRPr="00397FCD">
        <w:rPr>
          <w:rFonts w:ascii="Palatino Linotype" w:hAnsi="Palatino Linotype"/>
          <w:sz w:val="24"/>
          <w:szCs w:val="24"/>
        </w:rPr>
        <w:t xml:space="preserve">En esta tesitura el suscrito considera pertinente referir que la </w:t>
      </w:r>
      <w:r w:rsidRPr="00397FCD">
        <w:rPr>
          <w:rFonts w:ascii="Palatino Linotype" w:hAnsi="Palatino Linotype"/>
          <w:i/>
          <w:sz w:val="24"/>
          <w:szCs w:val="24"/>
        </w:rPr>
        <w:t>fotografía y firma</w:t>
      </w:r>
      <w:r w:rsidRPr="00397FCD">
        <w:rPr>
          <w:rFonts w:ascii="Palatino Linotype" w:hAnsi="Palatino Linotype"/>
          <w:sz w:val="24"/>
          <w:szCs w:val="24"/>
        </w:rPr>
        <w:t xml:space="preserve">, son datos personales que no deben dejarse visibles, lo anterior es así, toda vez que no se debe perder de vista que los mismos constituyen datos personales que hacen identificable a la persona, por lo que son </w:t>
      </w:r>
      <w:r w:rsidRPr="00397FCD">
        <w:rPr>
          <w:rFonts w:ascii="Palatino Linotype" w:hAnsi="Palatino Linotype"/>
          <w:sz w:val="24"/>
          <w:szCs w:val="24"/>
          <w:lang w:val="es-ES"/>
        </w:rPr>
        <w:t xml:space="preserve">susceptibles de ser testados con el </w:t>
      </w:r>
      <w:r w:rsidRPr="00397FCD">
        <w:rPr>
          <w:rFonts w:ascii="Palatino Linotype" w:hAnsi="Palatino Linotype"/>
          <w:sz w:val="24"/>
          <w:szCs w:val="24"/>
          <w:lang w:val="es-ES_tradnl"/>
        </w:rPr>
        <w:t xml:space="preserve">objeto de protegerlos, </w:t>
      </w:r>
      <w:r w:rsidRPr="00397FCD">
        <w:rPr>
          <w:rFonts w:ascii="Palatino Linotype" w:hAnsi="Palatino Linotype"/>
          <w:sz w:val="24"/>
          <w:szCs w:val="24"/>
          <w:lang w:val="es-ES"/>
        </w:rPr>
        <w:t>en términos del artículo 4 fracción VII de la Ley de Protección de Datos Personales del Estado de México.</w:t>
      </w:r>
    </w:p>
    <w:p w:rsidR="005F7C7D" w:rsidRPr="00397FCD" w:rsidRDefault="005F7C7D" w:rsidP="005F7C7D">
      <w:pPr>
        <w:spacing w:before="240" w:after="240" w:line="360" w:lineRule="auto"/>
        <w:jc w:val="both"/>
        <w:rPr>
          <w:rFonts w:ascii="Palatino Linotype" w:hAnsi="Palatino Linotype"/>
          <w:sz w:val="24"/>
          <w:szCs w:val="24"/>
          <w:lang w:val="es-ES"/>
        </w:rPr>
      </w:pPr>
      <w:r w:rsidRPr="00397FCD">
        <w:rPr>
          <w:rFonts w:ascii="Palatino Linotype" w:hAnsi="Palatino Linotype"/>
          <w:sz w:val="24"/>
          <w:szCs w:val="24"/>
          <w:lang w:val="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5F7C7D" w:rsidRPr="0079681C" w:rsidRDefault="005F7C7D" w:rsidP="005F7C7D">
      <w:pPr>
        <w:spacing w:after="0" w:line="360" w:lineRule="auto"/>
        <w:jc w:val="both"/>
        <w:rPr>
          <w:rFonts w:ascii="Palatino Linotype" w:hAnsi="Palatino Linotype"/>
          <w:lang w:val="es-ES"/>
        </w:rPr>
      </w:pPr>
    </w:p>
    <w:p w:rsidR="005F7C7D" w:rsidRPr="00397FCD" w:rsidRDefault="005F7C7D" w:rsidP="005F7C7D">
      <w:pPr>
        <w:spacing w:after="0" w:line="240" w:lineRule="auto"/>
        <w:ind w:left="851" w:right="851"/>
        <w:jc w:val="both"/>
        <w:rPr>
          <w:rFonts w:ascii="Palatino Linotype" w:hAnsi="Palatino Linotype"/>
          <w:i/>
        </w:rPr>
      </w:pPr>
      <w:r w:rsidRPr="00397FCD">
        <w:rPr>
          <w:rFonts w:ascii="Palatino Linotype" w:hAnsi="Palatino Linotype"/>
          <w:i/>
          <w:lang w:val="es-ES"/>
        </w:rPr>
        <w:t>"</w:t>
      </w:r>
      <w:r w:rsidRPr="00397FCD">
        <w:rPr>
          <w:rFonts w:ascii="Palatino Linotype" w:hAnsi="Palatino Linotype"/>
          <w:b/>
          <w:bCs/>
          <w:i/>
        </w:rPr>
        <w:t xml:space="preserve">TRANSPARENCIA Y ACCESO A LA INFORMACIÓN PÚBLICA GUBERNAMENTAL. LOS ARTÍCULOS 3o., FRACCIÓN II, Y 18, </w:t>
      </w:r>
      <w:r w:rsidRPr="00397FCD">
        <w:rPr>
          <w:rFonts w:ascii="Palatino Linotype" w:hAnsi="Palatino Linotype"/>
          <w:b/>
          <w:bCs/>
          <w:i/>
        </w:rPr>
        <w:lastRenderedPageBreak/>
        <w:t>FRACCIÓN II, DE LA LEY FEDERAL RELATIVA, NO VIOLAN LA GARANTÍA DE IGUALDAD, AL TUTELAR EL DERECHO A LA PROTECCIÓN DE DATOS PERSONALES SÓLO DE LAS PERSONAS FÍSICAS.</w:t>
      </w:r>
      <w:r w:rsidRPr="00397FCD">
        <w:rPr>
          <w:rFonts w:ascii="Palatino Linotype" w:hAnsi="Palatino Linotype"/>
          <w:i/>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w:t>
      </w:r>
      <w:r w:rsidRPr="00397FCD">
        <w:rPr>
          <w:rFonts w:ascii="Palatino Linotype" w:hAnsi="Palatino Linotype"/>
          <w:bCs/>
          <w:i/>
        </w:rPr>
        <w:t>datos</w:t>
      </w:r>
      <w:r w:rsidRPr="00397FCD">
        <w:rPr>
          <w:rFonts w:ascii="Palatino Linotype" w:hAnsi="Palatino Linotype"/>
          <w:i/>
        </w:rPr>
        <w:t xml:space="preserve"> </w:t>
      </w:r>
      <w:r w:rsidRPr="00397FCD">
        <w:rPr>
          <w:rFonts w:ascii="Palatino Linotype" w:hAnsi="Palatino Linotype"/>
          <w:bCs/>
          <w:i/>
        </w:rPr>
        <w:t>personales</w:t>
      </w:r>
      <w:r w:rsidRPr="00397FCD">
        <w:rPr>
          <w:rFonts w:ascii="Palatino Linotype" w:hAnsi="Palatino Linotype"/>
          <w:i/>
        </w:rPr>
        <w:t xml:space="preserve"> de las personas </w:t>
      </w:r>
      <w:r w:rsidRPr="00397FCD">
        <w:rPr>
          <w:rFonts w:ascii="Palatino Linotype" w:hAnsi="Palatino Linotype"/>
          <w:bCs/>
          <w:i/>
        </w:rPr>
        <w:t>físicas</w:t>
      </w:r>
      <w:r w:rsidRPr="00397FCD">
        <w:rPr>
          <w:rFonts w:ascii="Palatino Linotype" w:hAnsi="Palatino Linotype"/>
          <w:i/>
        </w:rPr>
        <w:t xml:space="preserve"> y no de las morales, colectivas o jurídicas privadas, no violan la indicada garantía contenida en el artículo 1o. de la Constitución Política de los Estados Unidos Mexicanos, pues tal distinción se justifica porque el derecho a la protección de los </w:t>
      </w:r>
      <w:r w:rsidRPr="00397FCD">
        <w:rPr>
          <w:rFonts w:ascii="Palatino Linotype" w:hAnsi="Palatino Linotype"/>
          <w:bCs/>
          <w:i/>
        </w:rPr>
        <w:t>datos</w:t>
      </w:r>
      <w:r w:rsidRPr="00397FCD">
        <w:rPr>
          <w:rFonts w:ascii="Palatino Linotype" w:hAnsi="Palatino Linotype"/>
          <w:i/>
        </w:rPr>
        <w:t xml:space="preserve"> </w:t>
      </w:r>
      <w:r w:rsidRPr="00397FCD">
        <w:rPr>
          <w:rFonts w:ascii="Palatino Linotype" w:hAnsi="Palatino Linotype"/>
          <w:bCs/>
          <w:i/>
        </w:rPr>
        <w:t>personales</w:t>
      </w:r>
      <w:r w:rsidRPr="00397FCD">
        <w:rPr>
          <w:rFonts w:ascii="Palatino Linotype" w:hAnsi="Palatino Linotype"/>
          <w:i/>
        </w:rPr>
        <w:t xml:space="preserve"> se refiere únicamente a las personas </w:t>
      </w:r>
      <w:r w:rsidRPr="00397FCD">
        <w:rPr>
          <w:rFonts w:ascii="Palatino Linotype" w:hAnsi="Palatino Linotype"/>
          <w:bCs/>
          <w:i/>
        </w:rPr>
        <w:t>físicas</w:t>
      </w:r>
      <w:r w:rsidRPr="00397FCD">
        <w:rPr>
          <w:rFonts w:ascii="Palatino Linotype" w:hAnsi="Palatino Linotype"/>
          <w:i/>
        </w:rPr>
        <w:t xml:space="preserve"> por estar encausado al respeto de un derecho personalísimo, como es el de la intimidad, del cual derivó aquél. Esto es, en el apuntado supuesto no se actualiza una igualdad jurídica entre las personas </w:t>
      </w:r>
      <w:r w:rsidRPr="00397FCD">
        <w:rPr>
          <w:rFonts w:ascii="Palatino Linotype" w:hAnsi="Palatino Linotype"/>
          <w:bCs/>
          <w:i/>
        </w:rPr>
        <w:t>físicas</w:t>
      </w:r>
      <w:r w:rsidRPr="00397FCD">
        <w:rPr>
          <w:rFonts w:ascii="Palatino Linotype" w:hAnsi="Palatino Linotype"/>
          <w:i/>
        </w:rPr>
        <w:t xml:space="preserve"> y las morales porque ambas están en situaciones de derecho dispares, ya que la protección de </w:t>
      </w:r>
      <w:r w:rsidRPr="00397FCD">
        <w:rPr>
          <w:rFonts w:ascii="Palatino Linotype" w:hAnsi="Palatino Linotype"/>
          <w:bCs/>
          <w:i/>
        </w:rPr>
        <w:t>datos</w:t>
      </w:r>
      <w:r w:rsidRPr="00397FCD">
        <w:rPr>
          <w:rFonts w:ascii="Palatino Linotype" w:hAnsi="Palatino Linotype"/>
          <w:i/>
        </w:rPr>
        <w:t xml:space="preserve"> </w:t>
      </w:r>
      <w:r w:rsidRPr="00397FCD">
        <w:rPr>
          <w:rFonts w:ascii="Palatino Linotype" w:hAnsi="Palatino Linotype"/>
          <w:bCs/>
          <w:i/>
        </w:rPr>
        <w:t>personales</w:t>
      </w:r>
      <w:r w:rsidRPr="00397FCD">
        <w:rPr>
          <w:rFonts w:ascii="Palatino Linotype" w:hAnsi="Palatino Linotype"/>
          <w:i/>
        </w:rPr>
        <w:t>, entre ellos el del patrimonio y su confidencialidad, es una derivación del derecho a la intimidad, del cual únicamente goza el individuo, entendido como la persona humana."</w:t>
      </w:r>
    </w:p>
    <w:p w:rsidR="005F7C7D" w:rsidRPr="0079681C" w:rsidRDefault="005F7C7D" w:rsidP="005F7C7D">
      <w:pPr>
        <w:spacing w:after="0" w:line="360" w:lineRule="auto"/>
        <w:jc w:val="both"/>
        <w:rPr>
          <w:rFonts w:ascii="Palatino Linotype" w:hAnsi="Palatino Linotype"/>
          <w:sz w:val="23"/>
          <w:szCs w:val="23"/>
          <w:lang w:val="es-ES"/>
        </w:rPr>
      </w:pPr>
    </w:p>
    <w:p w:rsidR="005F7C7D" w:rsidRPr="00397FCD" w:rsidRDefault="005F7C7D" w:rsidP="005F7C7D">
      <w:pPr>
        <w:spacing w:before="240" w:after="240" w:line="360" w:lineRule="auto"/>
        <w:jc w:val="both"/>
        <w:rPr>
          <w:rFonts w:ascii="Palatino Linotype" w:hAnsi="Palatino Linotype"/>
          <w:sz w:val="24"/>
          <w:szCs w:val="24"/>
          <w:lang w:val="es-ES"/>
        </w:rPr>
      </w:pPr>
      <w:r w:rsidRPr="00397FCD">
        <w:rPr>
          <w:rFonts w:ascii="Palatino Linotype" w:hAnsi="Palatino Linotype"/>
          <w:sz w:val="24"/>
          <w:szCs w:val="24"/>
        </w:rPr>
        <w:t xml:space="preserve">Al respecto es de mencionar que el acuerdo de versión pública ordenado debió tener por objeto testar la fotografía y firma de la persona a favor de quien se expidió la documental consistente en el certificado de estudios, Título Profesional, cédula profesional; carta de pasante; ya que la </w:t>
      </w:r>
      <w:r w:rsidRPr="00397FCD">
        <w:rPr>
          <w:rFonts w:ascii="Palatino Linotype" w:hAnsi="Palatino Linotype"/>
          <w:bCs/>
          <w:sz w:val="24"/>
          <w:szCs w:val="24"/>
          <w:lang w:val="es-ES"/>
        </w:rPr>
        <w:t>fotografía es un dato personal confidencial,</w:t>
      </w:r>
      <w:r w:rsidRPr="00397FCD">
        <w:rPr>
          <w:rFonts w:ascii="Palatino Linotype" w:hAnsi="Palatino Linotype"/>
          <w:b/>
          <w:bCs/>
          <w:sz w:val="24"/>
          <w:szCs w:val="24"/>
          <w:lang w:val="es-ES"/>
        </w:rPr>
        <w:t xml:space="preserve"> </w:t>
      </w:r>
      <w:r w:rsidRPr="00397FCD">
        <w:rPr>
          <w:rFonts w:ascii="Palatino Linotype" w:hAnsi="Palatino Linotype"/>
          <w:sz w:val="24"/>
          <w:szCs w:val="24"/>
          <w:lang w:val="es-ES"/>
        </w:rPr>
        <w:t xml:space="preserve">en términos de lo dispuesto en los artículos 3, fracción IX y 143, fracción I de la Ley de Transparencia y Acceso a la Información Pública del Estado de México y Municipios, </w:t>
      </w:r>
      <w:r w:rsidRPr="00397FCD">
        <w:rPr>
          <w:rFonts w:ascii="Palatino Linotype" w:hAnsi="Palatino Linotype"/>
          <w:bCs/>
          <w:sz w:val="24"/>
          <w:szCs w:val="24"/>
          <w:lang w:val="es-ES"/>
        </w:rPr>
        <w:t xml:space="preserve">así como en el artículo 4, fracciones XI y XII de </w:t>
      </w:r>
      <w:r w:rsidRPr="00397FCD">
        <w:rPr>
          <w:rFonts w:ascii="Palatino Linotype" w:hAnsi="Palatino Linotype"/>
          <w:sz w:val="24"/>
          <w:szCs w:val="24"/>
          <w:lang w:val="es-ES"/>
        </w:rPr>
        <w:t xml:space="preserve">la Ley de Protección de </w:t>
      </w:r>
      <w:r w:rsidRPr="00397FCD">
        <w:rPr>
          <w:rFonts w:ascii="Palatino Linotype" w:hAnsi="Palatino Linotype"/>
          <w:sz w:val="24"/>
          <w:szCs w:val="24"/>
          <w:lang w:val="es-ES"/>
        </w:rPr>
        <w:lastRenderedPageBreak/>
        <w:t>Datos Personales en Posesión de Sujetos Obligados del Estado de México y Municipios.</w:t>
      </w:r>
    </w:p>
    <w:p w:rsidR="005F7C7D" w:rsidRPr="00397FCD" w:rsidRDefault="005F7C7D" w:rsidP="005F7C7D">
      <w:pPr>
        <w:spacing w:before="240" w:after="240" w:line="360" w:lineRule="auto"/>
        <w:jc w:val="both"/>
        <w:rPr>
          <w:rFonts w:ascii="Palatino Linotype" w:hAnsi="Palatino Linotype"/>
          <w:sz w:val="24"/>
          <w:szCs w:val="24"/>
          <w:lang w:val="es-ES"/>
        </w:rPr>
      </w:pPr>
      <w:r w:rsidRPr="00397FCD">
        <w:rPr>
          <w:rFonts w:ascii="Palatino Linotype" w:hAnsi="Palatino Linotype"/>
          <w:sz w:val="24"/>
          <w:szCs w:val="24"/>
          <w:lang w:val="es-ES"/>
        </w:rPr>
        <w:t xml:space="preserve">Lo anterior es así, en atención a que las fotografías constituyen la reproducción fiel de las características físicas de una persona en un momento determinado, por lo que representan un instrumento de identificación, proyección exterior y factor imprescindible para su propio reconocimiento como sujeto individual. </w:t>
      </w:r>
    </w:p>
    <w:p w:rsidR="005F7C7D" w:rsidRPr="00397FCD" w:rsidRDefault="005F7C7D" w:rsidP="005F7C7D">
      <w:pPr>
        <w:spacing w:before="240" w:after="240" w:line="360" w:lineRule="auto"/>
        <w:jc w:val="both"/>
        <w:rPr>
          <w:rFonts w:ascii="Palatino Linotype" w:hAnsi="Palatino Linotype"/>
          <w:sz w:val="24"/>
          <w:szCs w:val="24"/>
          <w:lang w:val="es-ES"/>
        </w:rPr>
      </w:pPr>
      <w:r w:rsidRPr="00397FCD">
        <w:rPr>
          <w:rFonts w:ascii="Palatino Linotype" w:hAnsi="Palatino Linotype"/>
          <w:sz w:val="24"/>
          <w:szCs w:val="24"/>
          <w:lang w:val="es-ES"/>
        </w:rPr>
        <w:t xml:space="preserve">En ese sentido, las fotografías constituyen datos personales que requieren el consentimiento de su titular conforme al artículo 18 de la Ley de Protección de Datos precitada; aunado de que en dichas fotografías no se advierte que constituyan algún elemento que permita reflejar el desempeño, o idoneidad para ocupar un cargo; además no permite a su titular, acreditar ante la ciudadanía que posee los conocimientos propios de su profesión y mucho menos aporta elemento alguno en beneficio de la rendición de cuentas y la transparencia. </w:t>
      </w:r>
    </w:p>
    <w:p w:rsidR="005F7C7D" w:rsidRPr="00397FCD" w:rsidRDefault="005F7C7D" w:rsidP="005F7C7D">
      <w:pPr>
        <w:spacing w:before="240" w:after="240" w:line="360" w:lineRule="auto"/>
        <w:jc w:val="both"/>
        <w:rPr>
          <w:rFonts w:ascii="Palatino Linotype" w:hAnsi="Palatino Linotype"/>
          <w:sz w:val="24"/>
          <w:szCs w:val="24"/>
          <w:lang w:val="es-ES"/>
        </w:rPr>
      </w:pPr>
      <w:r w:rsidRPr="00397FCD">
        <w:rPr>
          <w:rFonts w:ascii="Palatino Linotype" w:hAnsi="Palatino Linotype"/>
          <w:sz w:val="24"/>
          <w:szCs w:val="24"/>
          <w:lang w:val="es-ES"/>
        </w:rPr>
        <w:t>En otros términos, es de destacar que la fotografía consiste en una imagen duradera de un rostro, en el caso de una persona, por lo que sin duda refleja y hace públicos los rasgos físicos de su titular; de ahí que constituya un dato personal</w:t>
      </w:r>
      <w:r w:rsidRPr="00397FCD">
        <w:rPr>
          <w:rFonts w:ascii="Palatino Linotype" w:hAnsi="Palatino Linotype"/>
          <w:sz w:val="24"/>
          <w:szCs w:val="24"/>
        </w:rPr>
        <w:t>.</w:t>
      </w:r>
    </w:p>
    <w:p w:rsidR="005F7C7D" w:rsidRPr="00397FCD" w:rsidRDefault="005F7C7D" w:rsidP="005F7C7D">
      <w:pPr>
        <w:spacing w:before="240" w:after="240" w:line="360" w:lineRule="auto"/>
        <w:jc w:val="both"/>
        <w:rPr>
          <w:rFonts w:ascii="Palatino Linotype" w:hAnsi="Palatino Linotype"/>
          <w:sz w:val="24"/>
          <w:szCs w:val="24"/>
          <w:lang w:val="es-ES"/>
        </w:rPr>
      </w:pPr>
      <w:r w:rsidRPr="00397FCD">
        <w:rPr>
          <w:rFonts w:ascii="Palatino Linotype" w:hAnsi="Palatino Linotype"/>
          <w:sz w:val="24"/>
          <w:szCs w:val="24"/>
          <w:lang w:val="es-ES"/>
        </w:rPr>
        <w:t xml:space="preserve">En efecto, la fotografía y la firma tanto en el certificado de estudios, título, cédula profesional, carta de pasante o en el currículum vitae, son susceptibles de ser testados, en atención a que la fotografía constituye la reproducción fiel de las </w:t>
      </w:r>
      <w:r w:rsidRPr="00397FCD">
        <w:rPr>
          <w:rFonts w:ascii="Palatino Linotype" w:hAnsi="Palatino Linotype"/>
          <w:sz w:val="24"/>
          <w:szCs w:val="24"/>
          <w:lang w:val="es-ES"/>
        </w:rPr>
        <w:lastRenderedPageBreak/>
        <w:t>características físicas de una persona en un momento determinado, por lo que representan un instrumento de identificación, proyección exterior, y factor imprescindible para su propio reconocimiento como sujeto individual; por ende, para su difusión se requiere del consentimiento de los individuos.</w:t>
      </w:r>
    </w:p>
    <w:p w:rsidR="005F7C7D" w:rsidRPr="00397FCD" w:rsidRDefault="005F7C7D" w:rsidP="005F7C7D">
      <w:pPr>
        <w:spacing w:before="240" w:after="240" w:line="360" w:lineRule="auto"/>
        <w:jc w:val="both"/>
        <w:rPr>
          <w:rFonts w:ascii="Palatino Linotype" w:hAnsi="Palatino Linotype"/>
          <w:sz w:val="24"/>
          <w:szCs w:val="24"/>
        </w:rPr>
      </w:pPr>
      <w:r w:rsidRPr="00397FCD">
        <w:rPr>
          <w:rFonts w:ascii="Palatino Linotype" w:hAnsi="Palatino Linotype"/>
          <w:sz w:val="24"/>
          <w:szCs w:val="24"/>
          <w:lang w:val="es-ES"/>
        </w:rPr>
        <w:t xml:space="preserve">Por lo que se refiere a la firma o rúbrica, es necesario referir que la misma </w:t>
      </w:r>
      <w:r w:rsidRPr="00397FCD">
        <w:rPr>
          <w:rFonts w:ascii="Palatino Linotype" w:hAnsi="Palatino Linotype"/>
          <w:sz w:val="24"/>
          <w:szCs w:val="24"/>
        </w:rPr>
        <w:t>tiene su origen en la </w:t>
      </w:r>
      <w:hyperlink r:id="rId6" w:tooltip="Grafología" w:history="1">
        <w:r w:rsidRPr="00397FCD">
          <w:rPr>
            <w:rStyle w:val="Hipervnculo"/>
            <w:rFonts w:ascii="Palatino Linotype" w:hAnsi="Palatino Linotype"/>
            <w:color w:val="auto"/>
            <w:sz w:val="24"/>
            <w:szCs w:val="24"/>
            <w:u w:val="none"/>
          </w:rPr>
          <w:t>grafología</w:t>
        </w:r>
      </w:hyperlink>
      <w:r w:rsidRPr="00397FCD">
        <w:rPr>
          <w:rFonts w:ascii="Palatino Linotype" w:hAnsi="Palatino Linotype"/>
          <w:sz w:val="24"/>
          <w:szCs w:val="24"/>
        </w:rPr>
        <w:t> también conocida como </w:t>
      </w:r>
      <w:r w:rsidRPr="00397FCD">
        <w:rPr>
          <w:rFonts w:ascii="Palatino Linotype" w:hAnsi="Palatino Linotype"/>
          <w:bCs/>
          <w:sz w:val="24"/>
          <w:szCs w:val="24"/>
        </w:rPr>
        <w:t>firma manuscrita</w:t>
      </w:r>
      <w:r w:rsidRPr="00397FCD">
        <w:rPr>
          <w:rFonts w:ascii="Palatino Linotype" w:hAnsi="Palatino Linotype"/>
          <w:sz w:val="24"/>
          <w:szCs w:val="24"/>
        </w:rPr>
        <w:t> y como </w:t>
      </w:r>
      <w:r w:rsidRPr="00397FCD">
        <w:rPr>
          <w:rFonts w:ascii="Palatino Linotype" w:hAnsi="Palatino Linotype"/>
          <w:bCs/>
          <w:sz w:val="24"/>
          <w:szCs w:val="24"/>
        </w:rPr>
        <w:t>firma ológrafa</w:t>
      </w:r>
      <w:r w:rsidRPr="00397FCD">
        <w:rPr>
          <w:rFonts w:ascii="Palatino Linotype" w:hAnsi="Palatino Linotype"/>
          <w:sz w:val="24"/>
          <w:szCs w:val="24"/>
        </w:rPr>
        <w:t>, del mismo es considerada como una escritura gráfica o manuscrito que representa el nombre y apellido, o título, que una persona escribe de su propia mano, y tiene fines identificatorios, jurídicos, bancarios, representativos y diplomáticos.</w:t>
      </w:r>
    </w:p>
    <w:p w:rsidR="005F7C7D" w:rsidRPr="00397FCD" w:rsidRDefault="005F7C7D" w:rsidP="005F7C7D">
      <w:pPr>
        <w:spacing w:before="240" w:after="240" w:line="360" w:lineRule="auto"/>
        <w:jc w:val="both"/>
        <w:rPr>
          <w:rFonts w:ascii="Palatino Linotype" w:hAnsi="Palatino Linotype"/>
          <w:sz w:val="24"/>
          <w:szCs w:val="24"/>
          <w:lang w:val="es-AR"/>
        </w:rPr>
      </w:pPr>
      <w:r w:rsidRPr="00397FCD">
        <w:rPr>
          <w:rFonts w:ascii="Palatino Linotype" w:hAnsi="Palatino Linotype"/>
          <w:sz w:val="24"/>
          <w:szCs w:val="24"/>
        </w:rPr>
        <w:t>En este entendido debe precisarse que si bien es cierto el criterio número 10/10 emitido por el IFAI, ahora Instituto Nacional de Transparencia refiere en términos generales que firma de los servidores públicos es información de carácter público cuando ésta es utilizada en el ejercicio de las facultades conferidas para el desempeño  del  servicio  público, es decir, cuando un servidor público emite un acto como autoridad, en ejercicio de las funciones que tiene conferidas, empero no se debe perder de vista que la firma de la persona a favor de quien se expiden los Títulos profesionales, cédula profesional, carta de pasante, certificado o documento análogo, la misma fue plasmada sin que ejerciera las funciones y atribuciones que la ley confiere en su carácter de servidor público, sino en su carácter</w:t>
      </w:r>
      <w:r w:rsidRPr="00397FCD">
        <w:rPr>
          <w:rFonts w:ascii="Palatino Linotype" w:hAnsi="Palatino Linotype"/>
          <w:sz w:val="24"/>
          <w:szCs w:val="24"/>
          <w:lang w:val="es-AR"/>
        </w:rPr>
        <w:t xml:space="preserve"> de particular.</w:t>
      </w:r>
    </w:p>
    <w:p w:rsidR="005F7C7D" w:rsidRPr="00397FCD" w:rsidRDefault="005F7C7D" w:rsidP="005F7C7D">
      <w:pPr>
        <w:spacing w:before="240" w:after="240" w:line="360" w:lineRule="auto"/>
        <w:jc w:val="both"/>
        <w:rPr>
          <w:rFonts w:ascii="Palatino Linotype" w:hAnsi="Palatino Linotype"/>
          <w:sz w:val="24"/>
          <w:szCs w:val="24"/>
          <w:lang w:val="es-AR"/>
        </w:rPr>
      </w:pPr>
      <w:r w:rsidRPr="00397FCD">
        <w:rPr>
          <w:rFonts w:ascii="Palatino Linotype" w:hAnsi="Palatino Linotype"/>
          <w:sz w:val="24"/>
          <w:szCs w:val="24"/>
        </w:rPr>
        <w:lastRenderedPageBreak/>
        <w:t>En consecuencia, las fotografías y las firmas constituyen datos personales y, como tales, susceptibles de clasificarse con el carácter de confidenciales, se afirma lo anterior en razón de que si bien dicho dato se generó para la obtención del documento que acredita un grado académico, sin embargo no se debe perder de vista que dicho documento y datos personales (</w:t>
      </w:r>
      <w:r w:rsidRPr="00397FCD">
        <w:rPr>
          <w:rFonts w:ascii="Palatino Linotype" w:hAnsi="Palatino Linotype"/>
          <w:i/>
          <w:sz w:val="24"/>
          <w:szCs w:val="24"/>
        </w:rPr>
        <w:t>fotografía y firma</w:t>
      </w:r>
      <w:r w:rsidRPr="00397FCD">
        <w:rPr>
          <w:rFonts w:ascii="Palatino Linotype" w:hAnsi="Palatino Linotype"/>
          <w:sz w:val="24"/>
          <w:szCs w:val="24"/>
        </w:rPr>
        <w:t xml:space="preserve">) se tramitó por el titular del mismo sin ejercer, ni hacer uso de las funciones y atribuciones que la ley confiere en su carácter de servidor o funcionario público. </w:t>
      </w:r>
    </w:p>
    <w:p w:rsidR="005F7C7D" w:rsidRPr="00397FCD" w:rsidRDefault="005F7C7D" w:rsidP="005F7C7D">
      <w:pPr>
        <w:spacing w:before="240" w:after="240" w:line="360" w:lineRule="auto"/>
        <w:jc w:val="both"/>
        <w:rPr>
          <w:rFonts w:ascii="Palatino Linotype" w:hAnsi="Palatino Linotype" w:cs="Arial"/>
          <w:sz w:val="24"/>
          <w:szCs w:val="24"/>
        </w:rPr>
      </w:pPr>
      <w:r w:rsidRPr="00397FCD">
        <w:rPr>
          <w:rFonts w:ascii="Palatino Linotype" w:hAnsi="Palatino Linotype"/>
          <w:sz w:val="24"/>
          <w:szCs w:val="24"/>
        </w:rPr>
        <w:t>En mérito de lo precisado con anterioridad</w:t>
      </w:r>
      <w:r w:rsidRPr="00397FCD">
        <w:rPr>
          <w:rFonts w:ascii="Palatino Linotype" w:hAnsi="Palatino Linotype" w:cs="Arial"/>
          <w:sz w:val="24"/>
          <w:szCs w:val="24"/>
        </w:rPr>
        <w:t xml:space="preserve">, </w:t>
      </w:r>
      <w:r w:rsidRPr="00397FCD">
        <w:rPr>
          <w:rFonts w:ascii="Palatino Linotype" w:hAnsi="Palatino Linotype"/>
          <w:sz w:val="24"/>
          <w:szCs w:val="24"/>
        </w:rPr>
        <w:t>el suscrito emite el presente voto particular.</w:t>
      </w:r>
    </w:p>
    <w:p w:rsidR="005F7C7D" w:rsidRPr="00397FCD" w:rsidRDefault="005F7C7D" w:rsidP="005F7C7D">
      <w:pPr>
        <w:spacing w:after="0" w:line="360" w:lineRule="auto"/>
        <w:rPr>
          <w:rFonts w:ascii="Palatino Linotype" w:hAnsi="Palatino Linotype"/>
          <w:b/>
          <w:sz w:val="24"/>
          <w:szCs w:val="24"/>
        </w:rPr>
      </w:pPr>
    </w:p>
    <w:p w:rsidR="005F7C7D" w:rsidRPr="00397FCD" w:rsidRDefault="005F7C7D" w:rsidP="005F7C7D">
      <w:pPr>
        <w:spacing w:after="0" w:line="360" w:lineRule="auto"/>
        <w:rPr>
          <w:rFonts w:ascii="Palatino Linotype" w:hAnsi="Palatino Linotype"/>
          <w:b/>
          <w:sz w:val="24"/>
          <w:szCs w:val="24"/>
        </w:rPr>
      </w:pPr>
    </w:p>
    <w:p w:rsidR="005F7C7D" w:rsidRPr="00397FCD" w:rsidRDefault="005F7C7D" w:rsidP="005F7C7D">
      <w:pPr>
        <w:spacing w:after="0" w:line="240" w:lineRule="auto"/>
        <w:jc w:val="center"/>
        <w:rPr>
          <w:rFonts w:ascii="Palatino Linotype" w:hAnsi="Palatino Linotype"/>
          <w:b/>
          <w:sz w:val="24"/>
          <w:szCs w:val="24"/>
        </w:rPr>
      </w:pPr>
      <w:r w:rsidRPr="00397FCD">
        <w:rPr>
          <w:rFonts w:ascii="Palatino Linotype" w:hAnsi="Palatino Linotype"/>
          <w:b/>
          <w:sz w:val="24"/>
          <w:szCs w:val="24"/>
        </w:rPr>
        <w:t xml:space="preserve">     Javier Martínez Cruz</w:t>
      </w:r>
    </w:p>
    <w:p w:rsidR="005F7C7D" w:rsidRPr="00397FCD" w:rsidRDefault="005F7C7D" w:rsidP="005F7C7D">
      <w:pPr>
        <w:spacing w:after="0" w:line="240" w:lineRule="auto"/>
        <w:jc w:val="center"/>
        <w:rPr>
          <w:rFonts w:ascii="Palatino Linotype" w:hAnsi="Palatino Linotype"/>
          <w:sz w:val="24"/>
          <w:szCs w:val="24"/>
        </w:rPr>
      </w:pPr>
      <w:r w:rsidRPr="00397FCD">
        <w:rPr>
          <w:rFonts w:ascii="Palatino Linotype" w:hAnsi="Palatino Linotype"/>
          <w:sz w:val="24"/>
          <w:szCs w:val="24"/>
        </w:rPr>
        <w:t>Comisionado</w:t>
      </w:r>
    </w:p>
    <w:p w:rsidR="005F7C7D" w:rsidRPr="00397FCD" w:rsidRDefault="005F7C7D" w:rsidP="005F7C7D">
      <w:pPr>
        <w:spacing w:after="0" w:line="240" w:lineRule="auto"/>
        <w:jc w:val="center"/>
        <w:rPr>
          <w:rFonts w:ascii="Palatino Linotype" w:hAnsi="Palatino Linotype"/>
          <w:sz w:val="24"/>
          <w:szCs w:val="24"/>
        </w:rPr>
      </w:pPr>
      <w:bookmarkStart w:id="0" w:name="_GoBack"/>
      <w:bookmarkEnd w:id="0"/>
    </w:p>
    <w:p w:rsidR="005F7C7D" w:rsidRPr="00397FCD" w:rsidRDefault="005F7C7D" w:rsidP="005F7C7D">
      <w:pPr>
        <w:spacing w:after="0" w:line="240" w:lineRule="auto"/>
        <w:jc w:val="center"/>
        <w:rPr>
          <w:rFonts w:ascii="Palatino Linotype" w:hAnsi="Palatino Linotype"/>
          <w:sz w:val="24"/>
          <w:szCs w:val="24"/>
        </w:rPr>
      </w:pPr>
    </w:p>
    <w:p w:rsidR="005F7C7D" w:rsidRPr="00397FCD" w:rsidRDefault="005F7C7D" w:rsidP="005F7C7D">
      <w:pPr>
        <w:rPr>
          <w:sz w:val="24"/>
          <w:szCs w:val="24"/>
        </w:rPr>
      </w:pPr>
    </w:p>
    <w:p w:rsidR="00E4570F" w:rsidRPr="00397FCD" w:rsidRDefault="00D26D26">
      <w:pPr>
        <w:rPr>
          <w:sz w:val="24"/>
          <w:szCs w:val="24"/>
        </w:rPr>
      </w:pPr>
    </w:p>
    <w:sectPr w:rsidR="00E4570F" w:rsidRPr="00397FCD" w:rsidSect="00115CE3">
      <w:headerReference w:type="even" r:id="rId7"/>
      <w:headerReference w:type="default" r:id="rId8"/>
      <w:footerReference w:type="default" r:id="rId9"/>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D26" w:rsidRDefault="00D26D26" w:rsidP="005F7C7D">
      <w:pPr>
        <w:spacing w:after="0" w:line="240" w:lineRule="auto"/>
      </w:pPr>
      <w:r>
        <w:separator/>
      </w:r>
    </w:p>
  </w:endnote>
  <w:endnote w:type="continuationSeparator" w:id="0">
    <w:p w:rsidR="00D26D26" w:rsidRDefault="00D26D26" w:rsidP="005F7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D26D26"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97FCD">
      <w:rPr>
        <w:rFonts w:ascii="Arial" w:hAnsi="Arial" w:cs="Arial"/>
        <w:b/>
        <w:bCs/>
        <w:noProof/>
        <w:sz w:val="20"/>
        <w:szCs w:val="20"/>
      </w:rPr>
      <w:t>6</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97FCD">
      <w:rPr>
        <w:rFonts w:ascii="Arial" w:hAnsi="Arial" w:cs="Arial"/>
        <w:b/>
        <w:bCs/>
        <w:noProof/>
        <w:sz w:val="20"/>
        <w:szCs w:val="20"/>
      </w:rPr>
      <w:t>7</w:t>
    </w:r>
    <w:r w:rsidRPr="00986599">
      <w:rPr>
        <w:rFonts w:ascii="Arial" w:hAnsi="Arial" w:cs="Arial"/>
        <w:b/>
        <w:bCs/>
        <w:sz w:val="20"/>
        <w:szCs w:val="20"/>
      </w:rPr>
      <w:fldChar w:fldCharType="end"/>
    </w:r>
  </w:p>
  <w:p w:rsidR="00D758BE" w:rsidRDefault="00D26D26"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D26" w:rsidRDefault="00D26D26" w:rsidP="005F7C7D">
      <w:pPr>
        <w:spacing w:after="0" w:line="240" w:lineRule="auto"/>
      </w:pPr>
      <w:r>
        <w:separator/>
      </w:r>
    </w:p>
  </w:footnote>
  <w:footnote w:type="continuationSeparator" w:id="0">
    <w:p w:rsidR="00D26D26" w:rsidRDefault="00D26D26" w:rsidP="005F7C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D26D26">
    <w:pPr>
      <w:pStyle w:val="Encabezado"/>
    </w:pPr>
    <w:r>
      <w:rPr>
        <w:noProof/>
        <w:lang w:val="es-MX" w:eastAsia="es-MX"/>
      </w:rPr>
      <mc:AlternateContent>
        <mc:Choice Requires="wps">
          <w:drawing>
            <wp:anchor distT="0" distB="0" distL="114300" distR="114300" simplePos="0" relativeHeight="251659264" behindDoc="1" locked="0" layoutInCell="0" allowOverlap="1" wp14:anchorId="14D6A89C" wp14:editId="0A0F3028">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D26D26"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4D6A89C"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D26D26"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D26D26" w:rsidP="007263BB">
    <w:pPr>
      <w:pStyle w:val="Encabezado"/>
      <w:jc w:val="right"/>
      <w:rPr>
        <w:rFonts w:ascii="Arial" w:hAnsi="Arial" w:cs="Arial"/>
        <w:sz w:val="20"/>
        <w:szCs w:val="20"/>
      </w:rPr>
    </w:pPr>
    <w:r>
      <w:rPr>
        <w:noProof/>
        <w:lang w:val="es-MX" w:eastAsia="es-MX"/>
      </w:rPr>
      <w:drawing>
        <wp:anchor distT="0" distB="0" distL="114300" distR="114300" simplePos="0" relativeHeight="251660288" behindDoc="1" locked="0" layoutInCell="1" allowOverlap="1" wp14:anchorId="03B72CF3" wp14:editId="25442585">
          <wp:simplePos x="0" y="0"/>
          <wp:positionH relativeFrom="column">
            <wp:posOffset>-1072967</wp:posOffset>
          </wp:positionH>
          <wp:positionV relativeFrom="paragraph">
            <wp:posOffset>-449906</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D758BE" w:rsidRDefault="00D26D26" w:rsidP="007263BB">
    <w:pPr>
      <w:pStyle w:val="Encabezado"/>
      <w:jc w:val="right"/>
      <w:rPr>
        <w:rFonts w:ascii="Arial" w:hAnsi="Arial" w:cs="Arial"/>
        <w:sz w:val="20"/>
        <w:szCs w:val="20"/>
      </w:rPr>
    </w:pPr>
  </w:p>
  <w:p w:rsidR="00D758BE" w:rsidRDefault="00D26D26" w:rsidP="007263BB">
    <w:pPr>
      <w:pStyle w:val="Encabezado"/>
      <w:jc w:val="right"/>
      <w:rPr>
        <w:rFonts w:ascii="Arial" w:hAnsi="Arial" w:cs="Arial"/>
        <w:sz w:val="20"/>
        <w:szCs w:val="20"/>
      </w:rPr>
    </w:pPr>
  </w:p>
  <w:p w:rsidR="0055500F" w:rsidRDefault="00D26D26" w:rsidP="007263BB">
    <w:pPr>
      <w:pStyle w:val="Encabezado"/>
      <w:jc w:val="right"/>
      <w:rPr>
        <w:rFonts w:ascii="Palatino Linotype" w:hAnsi="Palatino Linotype" w:cs="Arial"/>
        <w:b/>
        <w:sz w:val="20"/>
        <w:szCs w:val="20"/>
      </w:rPr>
    </w:pPr>
    <w:r>
      <w:rPr>
        <w:rFonts w:ascii="Palatino Linotype" w:hAnsi="Palatino Linotype" w:cs="Arial"/>
        <w:b/>
        <w:sz w:val="20"/>
        <w:szCs w:val="20"/>
      </w:rPr>
      <w:t>VOTO PARTICULAR</w:t>
    </w:r>
  </w:p>
  <w:p w:rsidR="00706042" w:rsidRPr="00563D0F" w:rsidRDefault="00D26D26" w:rsidP="007263BB">
    <w:pPr>
      <w:pStyle w:val="Encabezado"/>
      <w:jc w:val="right"/>
      <w:rPr>
        <w:rFonts w:ascii="Palatino Linotype" w:hAnsi="Palatino Linotype" w:cs="Arial"/>
        <w:b/>
        <w:sz w:val="20"/>
        <w:szCs w:val="20"/>
      </w:rPr>
    </w:pPr>
    <w:r>
      <w:rPr>
        <w:rFonts w:ascii="Palatino Linotype" w:hAnsi="Palatino Linotype" w:cs="Arial"/>
        <w:b/>
        <w:sz w:val="20"/>
        <w:szCs w:val="20"/>
      </w:rPr>
      <w:t xml:space="preserve"> </w:t>
    </w:r>
  </w:p>
  <w:p w:rsidR="00EE5FB0" w:rsidRPr="00563D0F" w:rsidRDefault="00D26D26" w:rsidP="00EE5FB0">
    <w:pPr>
      <w:pStyle w:val="Encabezado"/>
      <w:jc w:val="right"/>
      <w:rPr>
        <w:rFonts w:ascii="Palatino Linotype" w:hAnsi="Palatino Linotype" w:cs="Arial"/>
        <w:b/>
        <w:sz w:val="20"/>
        <w:szCs w:val="20"/>
      </w:rPr>
    </w:pPr>
    <w:r w:rsidRPr="00563D0F">
      <w:rPr>
        <w:rFonts w:ascii="Palatino Linotype" w:hAnsi="Palatino Linotype" w:cs="Arial"/>
        <w:b/>
        <w:sz w:val="20"/>
        <w:szCs w:val="20"/>
      </w:rPr>
      <w:t>RECURSO</w:t>
    </w:r>
    <w:r w:rsidRPr="00563D0F">
      <w:rPr>
        <w:rFonts w:ascii="Palatino Linotype" w:hAnsi="Palatino Linotype" w:cs="Arial"/>
        <w:b/>
        <w:sz w:val="20"/>
        <w:szCs w:val="20"/>
      </w:rPr>
      <w:t xml:space="preserve"> DE </w:t>
    </w:r>
    <w:r w:rsidRPr="006B0547">
      <w:rPr>
        <w:rFonts w:ascii="Palatino Linotype" w:hAnsi="Palatino Linotype" w:cs="Arial"/>
        <w:b/>
        <w:sz w:val="20"/>
        <w:szCs w:val="20"/>
      </w:rPr>
      <w:t>REVISIÓN</w:t>
    </w:r>
    <w:r>
      <w:rPr>
        <w:rFonts w:ascii="Palatino Linotype" w:hAnsi="Palatino Linotype" w:cs="Arial"/>
        <w:b/>
        <w:sz w:val="20"/>
        <w:szCs w:val="20"/>
      </w:rPr>
      <w:t>:</w:t>
    </w:r>
    <w:r w:rsidRPr="006B0547">
      <w:rPr>
        <w:rFonts w:ascii="Palatino Linotype" w:hAnsi="Palatino Linotype" w:cs="Arial"/>
        <w:b/>
        <w:sz w:val="20"/>
        <w:szCs w:val="20"/>
      </w:rPr>
      <w:t xml:space="preserve"> </w:t>
    </w:r>
    <w:r w:rsidR="005F7C7D">
      <w:rPr>
        <w:rFonts w:ascii="Palatino Linotype" w:hAnsi="Palatino Linotype" w:cs="Arial"/>
        <w:b/>
        <w:bCs/>
        <w:sz w:val="20"/>
        <w:szCs w:val="20"/>
        <w:lang w:val="es-MX"/>
      </w:rPr>
      <w:t>0191</w:t>
    </w:r>
    <w:r w:rsidRPr="0055500F">
      <w:rPr>
        <w:rFonts w:ascii="Palatino Linotype" w:hAnsi="Palatino Linotype" w:cs="Arial"/>
        <w:b/>
        <w:bCs/>
        <w:sz w:val="20"/>
        <w:szCs w:val="20"/>
        <w:lang w:val="es-MX"/>
      </w:rPr>
      <w:t>7/INFOEM/IP/RR/2019</w:t>
    </w:r>
  </w:p>
  <w:p w:rsidR="00D758BE" w:rsidRDefault="00D26D26" w:rsidP="007263BB">
    <w:pPr>
      <w:pStyle w:val="Encabezado"/>
      <w:jc w:val="right"/>
      <w:rPr>
        <w:rFonts w:ascii="Palatino Linotype" w:hAnsi="Palatino Linotype" w:cs="Arial"/>
        <w:sz w:val="20"/>
        <w:szCs w:val="20"/>
      </w:rPr>
    </w:pPr>
  </w:p>
  <w:p w:rsidR="00233AB2" w:rsidRDefault="00D26D26" w:rsidP="007263BB">
    <w:pPr>
      <w:pStyle w:val="Encabezado"/>
      <w:jc w:val="right"/>
      <w:rPr>
        <w:rFonts w:ascii="Palatino Linotype" w:hAnsi="Palatino Linotype"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C7D"/>
    <w:rsid w:val="00397FCD"/>
    <w:rsid w:val="005F7C7D"/>
    <w:rsid w:val="00A51902"/>
    <w:rsid w:val="00BE4381"/>
    <w:rsid w:val="00D26D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DD92C9-4AB9-4CB7-89F5-3C2DC3F08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7C7D"/>
    <w:pPr>
      <w:spacing w:line="256" w:lineRule="auto"/>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F7C7D"/>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5F7C7D"/>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F7C7D"/>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5F7C7D"/>
    <w:rPr>
      <w:rFonts w:ascii="Times New Roman" w:eastAsia="Times New Roman" w:hAnsi="Times New Roman" w:cs="Times New Roman"/>
      <w:sz w:val="24"/>
      <w:szCs w:val="24"/>
      <w:lang w:val="es-ES" w:eastAsia="es-ES"/>
    </w:rPr>
  </w:style>
  <w:style w:type="paragraph" w:styleId="NormalWeb">
    <w:name w:val="Normal (Web)"/>
    <w:basedOn w:val="Normal"/>
    <w:uiPriority w:val="99"/>
    <w:rsid w:val="005F7C7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F7C7D"/>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F7C7D"/>
  </w:style>
  <w:style w:type="character" w:styleId="Hipervnculo">
    <w:name w:val="Hyperlink"/>
    <w:basedOn w:val="Fuentedeprrafopredeter"/>
    <w:uiPriority w:val="99"/>
    <w:unhideWhenUsed/>
    <w:rsid w:val="005F7C7D"/>
    <w:rPr>
      <w:color w:val="0563C1" w:themeColor="hyperlink"/>
      <w:u w:val="single"/>
    </w:rPr>
  </w:style>
  <w:style w:type="table" w:styleId="Tablaconcuadrcula">
    <w:name w:val="Table Grid"/>
    <w:basedOn w:val="Tablanormal"/>
    <w:uiPriority w:val="39"/>
    <w:rsid w:val="005F7C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97FC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97F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wikipedia.org/wiki/Grafolog%C3%ADa"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1549</Words>
  <Characters>8520</Characters>
  <Application>Microsoft Office Word</Application>
  <DocSecurity>0</DocSecurity>
  <Lines>71</Lines>
  <Paragraphs>20</Paragraphs>
  <ScaleCrop>false</ScaleCrop>
  <Company/>
  <LinksUpToDate>false</LinksUpToDate>
  <CharactersWithSpaces>10049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2019-06-11T00:53:00Z</cp:lastPrinted>
  <dcterms:created xsi:type="dcterms:W3CDTF">2019-06-11T00:42:00Z</dcterms:created>
  <dcterms:modified xsi:type="dcterms:W3CDTF">2019-06-11T00:55:00Z</dcterms:modified>
</cp:coreProperties>
</file>